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CA2015" w:rsidP="009C31F5">
      <w:pPr>
        <w:shd w:val="clear" w:color="auto" w:fill="BDBDCC"/>
        <w:spacing w:after="36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Доходы, расходы и сбережения населения</w:t>
      </w:r>
    </w:p>
    <w:p w:rsidR="00883069" w:rsidRDefault="00883069" w:rsidP="00E576C1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D0D0D"/>
          <w:lang w:eastAsia="ru-RU"/>
        </w:rPr>
      </w:pPr>
      <w:proofErr w:type="gramStart"/>
      <w:r w:rsidRPr="00883069">
        <w:rPr>
          <w:rFonts w:ascii="Arial" w:eastAsia="Times New Roman" w:hAnsi="Arial" w:cs="Arial"/>
          <w:b/>
          <w:color w:val="0D0D0D"/>
          <w:lang w:eastAsia="ru-RU"/>
        </w:rPr>
        <w:t>Данные о денежных доходах и расходах населения</w:t>
      </w:r>
      <w:r w:rsidRPr="00883069">
        <w:rPr>
          <w:rFonts w:ascii="Arial" w:eastAsia="Times New Roman" w:hAnsi="Arial" w:cs="Arial"/>
          <w:color w:val="0D0D0D"/>
          <w:lang w:eastAsia="ru-RU"/>
        </w:rPr>
        <w:t xml:space="preserve"> 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хозяйствующих субъектов, органов государственного управления и финансовых учреждений, а также с использованием системы </w:t>
      </w:r>
      <w:proofErr w:type="spellStart"/>
      <w:r w:rsidRPr="00883069">
        <w:rPr>
          <w:rFonts w:ascii="Arial" w:eastAsia="Times New Roman" w:hAnsi="Arial" w:cs="Arial"/>
          <w:color w:val="0D0D0D"/>
          <w:lang w:eastAsia="ru-RU"/>
        </w:rPr>
        <w:t>дооценок</w:t>
      </w:r>
      <w:proofErr w:type="spellEnd"/>
      <w:r w:rsidRPr="00883069">
        <w:rPr>
          <w:rFonts w:ascii="Arial" w:eastAsia="Times New Roman" w:hAnsi="Arial" w:cs="Arial"/>
          <w:color w:val="0D0D0D"/>
          <w:lang w:eastAsia="ru-RU"/>
        </w:rPr>
        <w:t xml:space="preserve"> объемов доходов и расходов населения в неформальном секторе экономики.</w:t>
      </w:r>
      <w:proofErr w:type="gramEnd"/>
      <w:r w:rsidRPr="00883069">
        <w:rPr>
          <w:rFonts w:ascii="Arial" w:eastAsia="Times New Roman" w:hAnsi="Arial" w:cs="Arial"/>
          <w:color w:val="0D0D0D"/>
          <w:lang w:eastAsia="ru-RU"/>
        </w:rPr>
        <w:t xml:space="preserve"> При отсутствии ряда показателей в необходимые сроки (это касается в основном банковских данных) производится их оценка.</w:t>
      </w:r>
    </w:p>
    <w:p w:rsidR="00B60B82" w:rsidRPr="00B60B82" w:rsidRDefault="00B60B82" w:rsidP="00E576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3069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Денежные доходы населения </w:t>
      </w:r>
      <w:r w:rsidRPr="00883069">
        <w:rPr>
          <w:rFonts w:ascii="Arial" w:eastAsia="Times New Roman" w:hAnsi="Arial" w:cs="Arial"/>
          <w:color w:val="000000"/>
          <w:lang w:eastAsia="ru-RU"/>
        </w:rPr>
        <w:t>включают оплату труда наемных работников; доходы от предпринимательской деятельности и другой производственной деятельности; социальные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 по государственным и другим ценным бумагам; инвестиционный доход (доход от собственности держателей полисов);</w:t>
      </w:r>
      <w:proofErr w:type="gramEnd"/>
      <w:r w:rsidRPr="00883069">
        <w:rPr>
          <w:rFonts w:ascii="Arial" w:eastAsia="Times New Roman" w:hAnsi="Arial" w:cs="Arial"/>
          <w:color w:val="000000"/>
          <w:lang w:eastAsia="ru-RU"/>
        </w:rPr>
        <w:t xml:space="preserve"> прочие денежные поступления.</w:t>
      </w:r>
    </w:p>
    <w:p w:rsidR="00D967A1" w:rsidRDefault="00B60B82" w:rsidP="00E576C1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D0D0D"/>
          <w:lang w:eastAsia="ru-RU"/>
        </w:rPr>
      </w:pPr>
      <w:r w:rsidRPr="00883069">
        <w:rPr>
          <w:rFonts w:ascii="Arial" w:eastAsia="Times New Roman" w:hAnsi="Arial" w:cs="Arial"/>
          <w:b/>
          <w:bCs/>
          <w:color w:val="0D0D0D"/>
          <w:lang w:eastAsia="ru-RU"/>
        </w:rPr>
        <w:t>Денежные расходы населения</w:t>
      </w:r>
      <w:r w:rsidR="00F44DBE" w:rsidRPr="00883069"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883069">
        <w:rPr>
          <w:rFonts w:ascii="Arial" w:eastAsia="Times New Roman" w:hAnsi="Arial" w:cs="Arial"/>
          <w:color w:val="0D0D0D"/>
          <w:lang w:eastAsia="ru-RU"/>
        </w:rPr>
        <w:t>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</w:r>
      <w:r w:rsidRPr="00B60B82">
        <w:rPr>
          <w:rFonts w:ascii="Arial" w:eastAsia="Times New Roman" w:hAnsi="Arial" w:cs="Arial"/>
          <w:color w:val="0D0D0D"/>
          <w:lang w:eastAsia="ru-RU"/>
        </w:rPr>
        <w:t xml:space="preserve"> </w:t>
      </w:r>
    </w:p>
    <w:p w:rsidR="00B60B82" w:rsidRDefault="00B60B82" w:rsidP="00E576C1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D0D0D"/>
          <w:lang w:eastAsia="ru-RU"/>
        </w:rPr>
      </w:pPr>
      <w:proofErr w:type="gramStart"/>
      <w:r w:rsidRPr="00883069">
        <w:rPr>
          <w:rFonts w:ascii="Arial" w:eastAsia="Times New Roman" w:hAnsi="Arial" w:cs="Arial"/>
          <w:color w:val="0D0D0D"/>
          <w:lang w:eastAsia="ru-RU"/>
        </w:rPr>
        <w:t>К</w:t>
      </w:r>
      <w:r w:rsidR="00F44DBE" w:rsidRPr="00883069"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883069">
        <w:rPr>
          <w:rFonts w:ascii="Arial" w:eastAsia="Times New Roman" w:hAnsi="Arial" w:cs="Arial"/>
          <w:b/>
          <w:bCs/>
          <w:color w:val="0D0D0D"/>
          <w:lang w:eastAsia="ru-RU"/>
        </w:rPr>
        <w:t>сбережениям населения</w:t>
      </w:r>
      <w:r w:rsidR="00F44DBE" w:rsidRPr="00883069"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883069">
        <w:rPr>
          <w:rFonts w:ascii="Arial" w:eastAsia="Times New Roman" w:hAnsi="Arial" w:cs="Arial"/>
          <w:color w:val="0D0D0D"/>
          <w:lang w:eastAsia="ru-RU"/>
        </w:rPr>
        <w:t xml:space="preserve">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</w:t>
      </w:r>
      <w:r w:rsidR="009477FC" w:rsidRPr="00883069">
        <w:rPr>
          <w:rFonts w:ascii="Arial" w:eastAsia="Times New Roman" w:hAnsi="Arial" w:cs="Arial"/>
          <w:color w:val="0D0D0D"/>
          <w:lang w:eastAsia="ru-RU"/>
        </w:rPr>
        <w:br/>
      </w:r>
      <w:r w:rsidRPr="00883069">
        <w:rPr>
          <w:rFonts w:ascii="Arial" w:eastAsia="Times New Roman" w:hAnsi="Arial" w:cs="Arial"/>
          <w:color w:val="0D0D0D"/>
          <w:lang w:eastAsia="ru-RU"/>
        </w:rPr>
        <w:t>в ценных бумагах (включая векселя и долговые ценные бумаги); расходы на покупку недвижимости (включая сальдо операций с инструментами участия в капитале и недвижимостью за рубежом);</w:t>
      </w:r>
      <w:proofErr w:type="gramEnd"/>
      <w:r w:rsidRPr="00883069">
        <w:rPr>
          <w:rFonts w:ascii="Arial" w:eastAsia="Times New Roman" w:hAnsi="Arial" w:cs="Arial"/>
          <w:color w:val="0D0D0D"/>
          <w:lang w:eastAsia="ru-RU"/>
        </w:rPr>
        <w:t xml:space="preserve"> прирост (уменьшение) наличных денег на руках у населения в рублях </w:t>
      </w:r>
      <w:r w:rsidR="009477FC" w:rsidRPr="00883069">
        <w:rPr>
          <w:rFonts w:ascii="Arial" w:eastAsia="Times New Roman" w:hAnsi="Arial" w:cs="Arial"/>
          <w:color w:val="0D0D0D"/>
          <w:lang w:eastAsia="ru-RU"/>
        </w:rPr>
        <w:br/>
      </w:r>
      <w:r w:rsidRPr="00883069">
        <w:rPr>
          <w:rFonts w:ascii="Arial" w:eastAsia="Times New Roman" w:hAnsi="Arial" w:cs="Arial"/>
          <w:color w:val="0D0D0D"/>
          <w:lang w:eastAsia="ru-RU"/>
        </w:rPr>
        <w:t xml:space="preserve">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</w:t>
      </w:r>
      <w:r w:rsidR="009477FC" w:rsidRPr="00883069">
        <w:rPr>
          <w:rFonts w:ascii="Arial" w:eastAsia="Times New Roman" w:hAnsi="Arial" w:cs="Arial"/>
          <w:color w:val="0D0D0D"/>
          <w:lang w:eastAsia="ru-RU"/>
        </w:rPr>
        <w:br/>
      </w:r>
      <w:r w:rsidRPr="00883069">
        <w:rPr>
          <w:rFonts w:ascii="Arial" w:eastAsia="Times New Roman" w:hAnsi="Arial" w:cs="Arial"/>
          <w:color w:val="0D0D0D"/>
          <w:lang w:eastAsia="ru-RU"/>
        </w:rPr>
        <w:t>и погашения инвестиционных паев, от реализации долей участия в уставном капитале организаций и др.).</w:t>
      </w:r>
    </w:p>
    <w:p w:rsidR="00883069" w:rsidRPr="00CA2015" w:rsidRDefault="00883069" w:rsidP="008830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015">
        <w:rPr>
          <w:rFonts w:ascii="Arial" w:eastAsia="Times New Roman" w:hAnsi="Arial" w:cs="Arial"/>
          <w:b/>
          <w:bCs/>
          <w:color w:val="0D0D0D"/>
          <w:lang w:eastAsia="ru-RU"/>
        </w:rPr>
        <w:t>Среднедушевые денежные доходы населения (в</w:t>
      </w:r>
      <w:r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b/>
          <w:bCs/>
          <w:color w:val="0D0D0D"/>
          <w:lang w:eastAsia="ru-RU"/>
        </w:rPr>
        <w:t>месяц)</w:t>
      </w:r>
      <w:r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 xml:space="preserve">исчисляются делением годового объема денежных доходов </w:t>
      </w:r>
      <w:r>
        <w:rPr>
          <w:rFonts w:ascii="Arial" w:eastAsia="Times New Roman" w:hAnsi="Arial" w:cs="Arial"/>
          <w:color w:val="0D0D0D"/>
          <w:lang w:eastAsia="ru-RU"/>
        </w:rPr>
        <w:br/>
      </w:r>
      <w:r w:rsidRPr="00CA2015">
        <w:rPr>
          <w:rFonts w:ascii="Arial" w:eastAsia="Times New Roman" w:hAnsi="Arial" w:cs="Arial"/>
          <w:color w:val="0D0D0D"/>
          <w:lang w:eastAsia="ru-RU"/>
        </w:rPr>
        <w:t>на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12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и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на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среднегодовую численность населения.</w:t>
      </w:r>
    </w:p>
    <w:p w:rsidR="00883069" w:rsidRPr="00CA2015" w:rsidRDefault="00883069" w:rsidP="008830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015">
        <w:rPr>
          <w:rFonts w:ascii="Arial" w:eastAsia="Times New Roman" w:hAnsi="Arial" w:cs="Arial"/>
          <w:b/>
          <w:bCs/>
          <w:color w:val="0D0D0D"/>
          <w:lang w:eastAsia="ru-RU"/>
        </w:rPr>
        <w:t>Реальные денежные доходы</w:t>
      </w:r>
      <w:r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– относительный показатель, исчисленный путем деления индекса номинального размера (т.е.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фактически сложившегося в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отчетном периоде) денежных доходов населения на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индекс потребительских цен за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соответствующий период.</w:t>
      </w:r>
    </w:p>
    <w:p w:rsidR="00883069" w:rsidRDefault="00883069" w:rsidP="0088306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D0D0D"/>
          <w:lang w:eastAsia="ru-RU"/>
        </w:rPr>
      </w:pPr>
      <w:r w:rsidRPr="00CA2015">
        <w:rPr>
          <w:rFonts w:ascii="Arial" w:eastAsia="Times New Roman" w:hAnsi="Arial" w:cs="Arial"/>
          <w:b/>
          <w:bCs/>
          <w:color w:val="0D0D0D"/>
          <w:lang w:eastAsia="ru-RU"/>
        </w:rPr>
        <w:t>Реальные располагаемые денежные доходы</w:t>
      </w:r>
      <w:r>
        <w:rPr>
          <w:rFonts w:ascii="Arial" w:eastAsia="Times New Roman" w:hAnsi="Arial" w:cs="Arial"/>
          <w:b/>
          <w:bCs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– относительный показатель, исчисленный путем деления индекса номинального размера (т.е.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фактически сложившегося в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отчетном периоде) располагаемых денежных доходов населения на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 xml:space="preserve">индекс потребительских цен </w:t>
      </w:r>
      <w:r>
        <w:rPr>
          <w:rFonts w:ascii="Arial" w:eastAsia="Times New Roman" w:hAnsi="Arial" w:cs="Arial"/>
          <w:color w:val="0D0D0D"/>
          <w:lang w:eastAsia="ru-RU"/>
        </w:rPr>
        <w:br/>
      </w:r>
      <w:r w:rsidRPr="00CA2015">
        <w:rPr>
          <w:rFonts w:ascii="Arial" w:eastAsia="Times New Roman" w:hAnsi="Arial" w:cs="Arial"/>
          <w:color w:val="0D0D0D"/>
          <w:lang w:eastAsia="ru-RU"/>
        </w:rPr>
        <w:t>за</w:t>
      </w:r>
      <w:r>
        <w:rPr>
          <w:rFonts w:ascii="Arial" w:eastAsia="Times New Roman" w:hAnsi="Arial" w:cs="Arial"/>
          <w:color w:val="0D0D0D"/>
          <w:lang w:eastAsia="ru-RU"/>
        </w:rPr>
        <w:t xml:space="preserve"> </w:t>
      </w:r>
      <w:r w:rsidRPr="00CA2015">
        <w:rPr>
          <w:rFonts w:ascii="Arial" w:eastAsia="Times New Roman" w:hAnsi="Arial" w:cs="Arial"/>
          <w:color w:val="0D0D0D"/>
          <w:lang w:eastAsia="ru-RU"/>
        </w:rPr>
        <w:t>соответствующий период.</w:t>
      </w:r>
    </w:p>
    <w:p w:rsidR="00883069" w:rsidRDefault="00883069" w:rsidP="0088306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D0D0D"/>
          <w:lang w:eastAsia="ru-RU"/>
        </w:rPr>
      </w:pPr>
      <w:r>
        <w:rPr>
          <w:rFonts w:ascii="Arial" w:eastAsia="Times New Roman" w:hAnsi="Arial" w:cs="Arial"/>
          <w:color w:val="0D0D0D"/>
          <w:lang w:eastAsia="ru-RU"/>
        </w:rPr>
        <w:t>Структура денежных доходов и расходов населения представляет собой распределение их по источникам поступления и направлениям использования, в процентах к общему объему денежных доходов.</w:t>
      </w:r>
    </w:p>
    <w:tbl>
      <w:tblPr>
        <w:tblW w:w="6803" w:type="dxa"/>
        <w:jc w:val="center"/>
        <w:tblInd w:w="3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5"/>
      </w:tblGrid>
      <w:tr w:rsidR="00AF75BB" w:rsidRPr="00AF75BB" w:rsidTr="00883069">
        <w:trPr>
          <w:jc w:val="center"/>
        </w:trPr>
        <w:tc>
          <w:tcPr>
            <w:tcW w:w="22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5BB" w:rsidRPr="00883069" w:rsidRDefault="00883069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</w:pPr>
            <w:r w:rsidRPr="00883069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Источник</w:t>
            </w:r>
          </w:p>
        </w:tc>
        <w:tc>
          <w:tcPr>
            <w:tcW w:w="453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5BB" w:rsidRPr="00883069" w:rsidRDefault="00883069" w:rsidP="00883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883069">
              <w:rPr>
                <w:rFonts w:ascii="Arial" w:eastAsia="Times New Roman" w:hAnsi="Arial" w:cs="Arial"/>
                <w:color w:val="0D0D0D"/>
                <w:lang w:eastAsia="ru-RU"/>
              </w:rPr>
              <w:t xml:space="preserve">Баланс 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>денежных доходов и расходов населения</w:t>
            </w:r>
          </w:p>
        </w:tc>
      </w:tr>
      <w:tr w:rsidR="00883069" w:rsidRPr="00AF75BB" w:rsidTr="00883069">
        <w:trPr>
          <w:jc w:val="center"/>
        </w:trPr>
        <w:tc>
          <w:tcPr>
            <w:tcW w:w="22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69" w:rsidRPr="00F556CF" w:rsidRDefault="00883069" w:rsidP="00920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CF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453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69" w:rsidRPr="00F556CF" w:rsidRDefault="00883069" w:rsidP="009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квартальная,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 xml:space="preserve"> </w:t>
            </w: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883069" w:rsidRDefault="00392CEF">
      <w:pPr>
        <w:rPr>
          <w:sz w:val="4"/>
          <w:szCs w:val="4"/>
        </w:rPr>
      </w:pPr>
      <w:bookmarkStart w:id="0" w:name="_GoBack"/>
      <w:bookmarkEnd w:id="0"/>
    </w:p>
    <w:sectPr w:rsidR="00392CEF" w:rsidRPr="00883069" w:rsidSect="00E576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E69A5"/>
    <w:rsid w:val="00155AC2"/>
    <w:rsid w:val="00183966"/>
    <w:rsid w:val="001B3363"/>
    <w:rsid w:val="00344976"/>
    <w:rsid w:val="00392CEF"/>
    <w:rsid w:val="004D7079"/>
    <w:rsid w:val="00590D6E"/>
    <w:rsid w:val="006A4F59"/>
    <w:rsid w:val="00721437"/>
    <w:rsid w:val="0077704A"/>
    <w:rsid w:val="007B31EA"/>
    <w:rsid w:val="007D2286"/>
    <w:rsid w:val="008778FC"/>
    <w:rsid w:val="00883069"/>
    <w:rsid w:val="00925B6B"/>
    <w:rsid w:val="009477FC"/>
    <w:rsid w:val="009C31F5"/>
    <w:rsid w:val="009D6A25"/>
    <w:rsid w:val="00A86578"/>
    <w:rsid w:val="00AC1F6B"/>
    <w:rsid w:val="00AD3251"/>
    <w:rsid w:val="00AE4703"/>
    <w:rsid w:val="00AF75BB"/>
    <w:rsid w:val="00B60B82"/>
    <w:rsid w:val="00C32644"/>
    <w:rsid w:val="00CA2015"/>
    <w:rsid w:val="00D967A1"/>
    <w:rsid w:val="00DB1E9E"/>
    <w:rsid w:val="00E503B8"/>
    <w:rsid w:val="00E53733"/>
    <w:rsid w:val="00E576C1"/>
    <w:rsid w:val="00F04081"/>
    <w:rsid w:val="00F44DBE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AE8A-FE9B-43AF-B068-D85EE70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4</cp:revision>
  <cp:lastPrinted>2021-07-29T03:21:00Z</cp:lastPrinted>
  <dcterms:created xsi:type="dcterms:W3CDTF">2021-07-29T03:36:00Z</dcterms:created>
  <dcterms:modified xsi:type="dcterms:W3CDTF">2023-01-13T02:47:00Z</dcterms:modified>
</cp:coreProperties>
</file>